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360" w:lineRule="auto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Thanksgiving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2018</w:t>
      </w:r>
    </w:p>
    <w:p>
      <w:pPr>
        <w:pStyle w:val="Body"/>
        <w:spacing w:line="360" w:lineRule="auto"/>
        <w:jc w:val="center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Ps 107:1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Give thanks to the LORD, for he is good; his love endures forever.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In 1827, magazine editor and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writer 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Sarah Josepha Hale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who was famous for writing the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nursery rhyme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Mary Had a Little Lamb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”—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launched a campaign to establish Thanksgiving as a national holiday. 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For 36 years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she published numerous editorials and sent scores of letters to governors, senators, presidents and other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pt-PT"/>
        </w:rPr>
        <w:t xml:space="preserve">politicians. 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Abraham Lincoln finally heeded her request in 1863, at the height of the Civil War, in a proclamation entreating all Americans to ask God to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commend to his tender care all those who have become widows, orphans, mourners or sufferers in the lamentable civil strife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and to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heal the wounds of the nation.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 xml:space="preserve">” 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He scheduled Thanksgiving for the final Thursday in November.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We have arrived as a nation in need of the same exhortation to prayer for the suffering and wounded in body and soul.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Many in California mourn over the loss of loved ones and of all their worldly goods over the raging fires that engulfed their state.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Hate and unrest fester like a cancer in a nation bitterly divided on political issues.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It seems that hardly a week passes that we don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t read or hear of yet another mass shooting spree snuffing out the lives of scores of innocent bystanders.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Across the world, terrorism continues to rear its ugly face in terrible acts of violence.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And sometimes we wonder,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What can we do to make a difference in a world gone mad?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The Bible has an answer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we can turn to the God of Scripture, the one true God of Creation, and call out on Him!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It begins with recovering what is almost extinct in our world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giving thanks to God.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The Bible says in Romans 1, 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”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Because that when they knew God, they glorified Him not as God, neither were they THANKFUL; but became vain in their imaginations, and their foolish hearts were darkened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(1:21).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The downward spiral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of a people or a nation begins with not being thankful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When thanksgiving toward God disappears, darkness rushes in.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Romans 1:21 goes on to say that the unthankful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became futile in their thoughts, and their foolish hearts were darkened.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From there the unthankful civilization Paul has focused on found itself on the slippery slope of sexual depravity and minds that could not think straight anymore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—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what the Bible calls a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debased mind.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So, amongst the many positive things I could say about being thankful, here are a quick three: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I. Being thankful reminds us of where our blessings come from.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Every good and perfect gift comes down from the Father of lights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(James 1:17).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___________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II. Being thankful helps us keep our troubles in balance.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Unthankful people count their troubles, while thankful people count their blessings.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Being thankful prevents you from being overwhelmed with the negatives of life.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If you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re focused on the good things God has done, it saves you from the lie that all is bad and gloomy.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In the Psalms, David has a negative thought,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Will the Lord turn away forever? Will He never show favor again? </w:t>
      </w:r>
      <w:r>
        <w:rPr>
          <w:rFonts w:ascii="Arial" w:hAnsi="Arial"/>
          <w:b w:val="1"/>
          <w:bCs w:val="1"/>
          <w:sz w:val="24"/>
          <w:szCs w:val="24"/>
          <w:rtl w:val="0"/>
        </w:rPr>
        <w:t>8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Has His loving-kindness stopped forever? Has His promise come to an end for all time? </w:t>
      </w:r>
      <w:r>
        <w:rPr>
          <w:rFonts w:ascii="Arial" w:hAnsi="Arial"/>
          <w:b w:val="1"/>
          <w:bCs w:val="1"/>
          <w:sz w:val="24"/>
          <w:szCs w:val="24"/>
          <w:rtl w:val="0"/>
        </w:rPr>
        <w:t>9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Has God forgotten to be loving and kind?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”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But then he stops this negative train of thinking,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I will remember the things the Lord has done. Yes, I will remember the powerful works of long ago. </w:t>
      </w:r>
      <w:r>
        <w:rPr>
          <w:rFonts w:ascii="Arial" w:hAnsi="Arial"/>
          <w:b w:val="1"/>
          <w:bCs w:val="1"/>
          <w:sz w:val="24"/>
          <w:szCs w:val="24"/>
          <w:rtl w:val="0"/>
        </w:rPr>
        <w:t>12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 will think of all Your work, and keep in mind all the great things You have done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(Ps. 77:7-12).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This is what being thankful does. We choose to remember the good things God has done, and to thank Him!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____________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III. Being thankful is how we practice the presence of God in our lives.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Again, the Psalmist wrote,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Enter His gates with thanksgiving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a</w:t>
      </w:r>
      <w:r>
        <w:rPr>
          <w:rFonts w:ascii="Verdana" w:hAnsi="Verdana"/>
          <w:b w:val="1"/>
          <w:bCs w:val="1"/>
          <w:i w:val="1"/>
          <w:iCs w:val="1"/>
          <w:sz w:val="26"/>
          <w:szCs w:val="26"/>
          <w:rtl w:val="0"/>
        </w:rPr>
        <w:t>nd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His courts with praise.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Give thanks to Him, bless His name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(Ps. 100:4).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When we thank God, it says He literally 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inhabits the praises of His people!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 xml:space="preserve">” 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(Ps. 22:3)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Let</w:t>
      </w:r>
      <w:r>
        <w:rPr>
          <w:rFonts w:ascii="Verdana" w:hAnsi="Verdana" w:hint="default"/>
          <w:b w:val="1"/>
          <w:bCs w:val="1"/>
          <w:sz w:val="26"/>
          <w:szCs w:val="26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>s stand to give thanks to God by taking communion, showing thanks for the gift of His Son and the life He gave!</w:t>
      </w: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rPr>
          <w:rFonts w:ascii="Verdana" w:cs="Verdana" w:hAnsi="Verdana" w:eastAsia="Verdana"/>
          <w:b w:val="1"/>
          <w:bCs w:val="1"/>
          <w:sz w:val="26"/>
          <w:szCs w:val="26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Body"/>
        <w:spacing w:line="360" w:lineRule="auto"/>
      </w:pPr>
      <w:r>
        <w:rPr>
          <w:rFonts w:ascii="Verdana" w:cs="Verdana" w:hAnsi="Verdana" w:eastAsia="Verdana"/>
          <w:b w:val="1"/>
          <w:bCs w:val="1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